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AE" w:rsidRDefault="008032AE" w:rsidP="00B229A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62D65" w:rsidRDefault="00B229A9" w:rsidP="00B229A9">
      <w:pPr>
        <w:jc w:val="center"/>
        <w:rPr>
          <w:rFonts w:ascii="Arial" w:hAnsi="Arial" w:cs="Arial"/>
          <w:b/>
          <w:sz w:val="24"/>
          <w:szCs w:val="24"/>
        </w:rPr>
      </w:pPr>
      <w:r w:rsidRPr="00314E00">
        <w:rPr>
          <w:rFonts w:ascii="Arial" w:hAnsi="Arial" w:cs="Arial"/>
          <w:b/>
          <w:sz w:val="24"/>
          <w:szCs w:val="24"/>
          <w:u w:val="single"/>
        </w:rPr>
        <w:t>ABONA</w:t>
      </w:r>
      <w:r w:rsidR="00A976F8">
        <w:rPr>
          <w:rFonts w:ascii="Arial" w:hAnsi="Arial" w:cs="Arial"/>
          <w:b/>
          <w:sz w:val="24"/>
          <w:szCs w:val="24"/>
          <w:u w:val="single"/>
        </w:rPr>
        <w:t>DO</w:t>
      </w:r>
      <w:r w:rsidRPr="00314E00">
        <w:rPr>
          <w:rFonts w:ascii="Arial" w:hAnsi="Arial" w:cs="Arial"/>
          <w:b/>
          <w:sz w:val="24"/>
          <w:szCs w:val="24"/>
          <w:u w:val="single"/>
        </w:rPr>
        <w:t>DO DEL OLIVO EN LA ALCARRIA</w:t>
      </w:r>
      <w:r w:rsidRPr="00B229A9">
        <w:rPr>
          <w:rFonts w:ascii="Arial" w:hAnsi="Arial" w:cs="Arial"/>
          <w:b/>
          <w:sz w:val="24"/>
          <w:szCs w:val="24"/>
        </w:rPr>
        <w:t>.</w:t>
      </w:r>
    </w:p>
    <w:p w:rsidR="00B229A9" w:rsidRPr="00B229A9" w:rsidRDefault="00B229A9" w:rsidP="00B229A9">
      <w:pPr>
        <w:jc w:val="both"/>
        <w:rPr>
          <w:rFonts w:ascii="Arial" w:hAnsi="Arial" w:cs="Arial"/>
          <w:b/>
          <w:sz w:val="24"/>
          <w:szCs w:val="24"/>
        </w:rPr>
      </w:pPr>
      <w:r w:rsidRPr="00B229A9">
        <w:rPr>
          <w:rFonts w:ascii="Arial" w:hAnsi="Arial" w:cs="Arial"/>
          <w:b/>
          <w:sz w:val="24"/>
          <w:szCs w:val="24"/>
        </w:rPr>
        <w:t>1.- Características del Cultivo.</w:t>
      </w:r>
    </w:p>
    <w:p w:rsidR="00B229A9" w:rsidRDefault="00B229A9" w:rsidP="00B229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olivar de la Alcarria de Cuenca se cultiva en secano, en suelos con una baja fertilidad, en general con alto contenido en carbonato cálcico y por lo tanto un pH por encima de 8. También se cultivan olivares, en ciertas zonas, en suelos de textura franco-arenosa o incluso arenosa.</w:t>
      </w:r>
    </w:p>
    <w:p w:rsidR="00B229A9" w:rsidRDefault="00B229A9" w:rsidP="00B229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densidad de árboles por hectárea se sitúa en un intervalo de 130-150 árboles. La producción de los mismos es baja, podemos situarla en una media interanual de 10 Kg</w:t>
      </w:r>
      <w:proofErr w:type="gramStart"/>
      <w:r>
        <w:rPr>
          <w:rFonts w:ascii="Arial" w:hAnsi="Arial" w:cs="Arial"/>
          <w:sz w:val="24"/>
          <w:szCs w:val="24"/>
        </w:rPr>
        <w:t>./</w:t>
      </w:r>
      <w:proofErr w:type="gramEnd"/>
      <w:r>
        <w:rPr>
          <w:rFonts w:ascii="Arial" w:hAnsi="Arial" w:cs="Arial"/>
          <w:sz w:val="24"/>
          <w:szCs w:val="24"/>
        </w:rPr>
        <w:t>árbol.</w:t>
      </w:r>
    </w:p>
    <w:p w:rsidR="00B229A9" w:rsidRDefault="00B229A9" w:rsidP="00B229A9">
      <w:pPr>
        <w:jc w:val="both"/>
        <w:rPr>
          <w:rFonts w:ascii="Arial" w:hAnsi="Arial" w:cs="Arial"/>
          <w:b/>
          <w:sz w:val="24"/>
          <w:szCs w:val="24"/>
        </w:rPr>
      </w:pPr>
      <w:r w:rsidRPr="00B229A9">
        <w:rPr>
          <w:rFonts w:ascii="Arial" w:hAnsi="Arial" w:cs="Arial"/>
          <w:b/>
          <w:sz w:val="24"/>
          <w:szCs w:val="24"/>
        </w:rPr>
        <w:t xml:space="preserve">2.- </w:t>
      </w:r>
      <w:r>
        <w:rPr>
          <w:rFonts w:ascii="Arial" w:hAnsi="Arial" w:cs="Arial"/>
          <w:b/>
          <w:sz w:val="24"/>
          <w:szCs w:val="24"/>
        </w:rPr>
        <w:t>Fertilidad de los suelos.</w:t>
      </w:r>
    </w:p>
    <w:p w:rsidR="00323DFF" w:rsidRDefault="00323DFF" w:rsidP="00B229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los análisis de suelo realizados en multitud de parcelas de nuestra comarca se tiene como características medias:</w:t>
      </w:r>
    </w:p>
    <w:p w:rsidR="00B229A9" w:rsidRPr="00323DFF" w:rsidRDefault="00B229A9" w:rsidP="00323DF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23DFF">
        <w:rPr>
          <w:rFonts w:ascii="Arial" w:hAnsi="Arial" w:cs="Arial"/>
          <w:sz w:val="24"/>
          <w:szCs w:val="24"/>
        </w:rPr>
        <w:t>Nivel de materia orgánica &lt; 1.5%.</w:t>
      </w:r>
    </w:p>
    <w:p w:rsidR="00B229A9" w:rsidRPr="00323DFF" w:rsidRDefault="00B229A9" w:rsidP="00323DF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23DFF">
        <w:rPr>
          <w:rFonts w:ascii="Arial" w:hAnsi="Arial" w:cs="Arial"/>
          <w:sz w:val="24"/>
          <w:szCs w:val="24"/>
        </w:rPr>
        <w:t xml:space="preserve">Nivel de fósforo: suelos pobres en fósforo asimilable en general por debajo de 12 </w:t>
      </w:r>
      <w:proofErr w:type="gramStart"/>
      <w:r w:rsidRPr="00323DFF">
        <w:rPr>
          <w:rFonts w:ascii="Arial" w:hAnsi="Arial" w:cs="Arial"/>
          <w:sz w:val="24"/>
          <w:szCs w:val="24"/>
        </w:rPr>
        <w:t>ppm(</w:t>
      </w:r>
      <w:proofErr w:type="gramEnd"/>
      <w:r w:rsidRPr="00323DFF">
        <w:rPr>
          <w:rFonts w:ascii="Arial" w:hAnsi="Arial" w:cs="Arial"/>
          <w:sz w:val="24"/>
          <w:szCs w:val="24"/>
        </w:rPr>
        <w:t>partes por millón).</w:t>
      </w:r>
    </w:p>
    <w:p w:rsidR="00B229A9" w:rsidRPr="00323DFF" w:rsidRDefault="00B229A9" w:rsidP="00323DF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23DFF">
        <w:rPr>
          <w:rFonts w:ascii="Arial" w:hAnsi="Arial" w:cs="Arial"/>
          <w:sz w:val="24"/>
          <w:szCs w:val="24"/>
        </w:rPr>
        <w:t>Nivel de potasio: en general son suelos ricos en potasio</w:t>
      </w:r>
      <w:r w:rsidR="004D36C2" w:rsidRPr="00323DFF">
        <w:rPr>
          <w:rFonts w:ascii="Arial" w:hAnsi="Arial" w:cs="Arial"/>
          <w:sz w:val="24"/>
          <w:szCs w:val="24"/>
        </w:rPr>
        <w:t xml:space="preserve"> con niveles por encima de 200 ppm.</w:t>
      </w:r>
    </w:p>
    <w:p w:rsidR="004D36C2" w:rsidRDefault="004D36C2" w:rsidP="00323DF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23DFF">
        <w:rPr>
          <w:rFonts w:ascii="Arial" w:hAnsi="Arial" w:cs="Arial"/>
          <w:sz w:val="24"/>
          <w:szCs w:val="24"/>
        </w:rPr>
        <w:t>pH.: entre 7.5-8.5</w:t>
      </w:r>
    </w:p>
    <w:p w:rsidR="00323DFF" w:rsidRPr="00323DFF" w:rsidRDefault="00323DFF" w:rsidP="00323DFF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Niveles altos de carbonato cálcico.</w:t>
      </w:r>
    </w:p>
    <w:p w:rsidR="004D36C2" w:rsidRDefault="004D36C2" w:rsidP="00B229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323DFF">
        <w:rPr>
          <w:rFonts w:ascii="Arial" w:hAnsi="Arial" w:cs="Arial"/>
          <w:sz w:val="24"/>
          <w:szCs w:val="24"/>
        </w:rPr>
        <w:t xml:space="preserve">general son suelos con texturas francas o franco-arenosas en algunos casos. </w:t>
      </w:r>
    </w:p>
    <w:p w:rsidR="004D36C2" w:rsidRDefault="004D36C2" w:rsidP="00B229A9">
      <w:pPr>
        <w:jc w:val="both"/>
        <w:rPr>
          <w:rFonts w:ascii="Arial" w:hAnsi="Arial" w:cs="Arial"/>
          <w:b/>
          <w:sz w:val="24"/>
          <w:szCs w:val="24"/>
        </w:rPr>
      </w:pPr>
      <w:r w:rsidRPr="004D36C2">
        <w:rPr>
          <w:rFonts w:ascii="Arial" w:hAnsi="Arial" w:cs="Arial"/>
          <w:b/>
          <w:sz w:val="24"/>
          <w:szCs w:val="24"/>
        </w:rPr>
        <w:t>3.- Extracción de nutrientes.</w:t>
      </w:r>
    </w:p>
    <w:p w:rsidR="004D36C2" w:rsidRPr="004D36C2" w:rsidRDefault="00314E00" w:rsidP="00B229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diversos investigadores, p</w:t>
      </w:r>
      <w:r w:rsidR="004D36C2">
        <w:rPr>
          <w:rFonts w:ascii="Arial" w:hAnsi="Arial" w:cs="Arial"/>
          <w:sz w:val="24"/>
          <w:szCs w:val="24"/>
        </w:rPr>
        <w:t>or cada 1000 Kg. de aceituna</w:t>
      </w:r>
      <w:r>
        <w:rPr>
          <w:rFonts w:ascii="Arial" w:hAnsi="Arial" w:cs="Arial"/>
          <w:sz w:val="24"/>
          <w:szCs w:val="24"/>
        </w:rPr>
        <w:t xml:space="preserve"> recogida por hectárea</w:t>
      </w:r>
      <w:r w:rsidR="00323DFF">
        <w:rPr>
          <w:rFonts w:ascii="Arial" w:hAnsi="Arial" w:cs="Arial"/>
          <w:sz w:val="24"/>
          <w:szCs w:val="24"/>
        </w:rPr>
        <w:t>,</w:t>
      </w:r>
      <w:r w:rsidR="004D36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olivo extrae del suelo las cantidades de nitrógeno, fósforo y potasio que se indican en la siguiente tabla</w:t>
      </w:r>
      <w:r w:rsidR="004D36C2">
        <w:rPr>
          <w:rFonts w:ascii="Arial" w:hAnsi="Arial" w:cs="Arial"/>
          <w:sz w:val="24"/>
          <w:szCs w:val="24"/>
        </w:rPr>
        <w:t>:</w:t>
      </w:r>
    </w:p>
    <w:p w:rsidR="004D36C2" w:rsidRPr="008A3CC4" w:rsidRDefault="004D36C2" w:rsidP="004D36C2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u w:val="single"/>
        </w:rPr>
      </w:pPr>
      <w:r w:rsidRPr="008A3CC4">
        <w:rPr>
          <w:rFonts w:ascii="Frutiger-BoldCn" w:hAnsi="Frutiger-BoldCn" w:cs="Frutiger-BoldCn"/>
          <w:b/>
          <w:bCs/>
          <w:u w:val="single"/>
        </w:rPr>
        <w:t xml:space="preserve">Nutrientes </w:t>
      </w:r>
      <w:r w:rsidR="00314E00" w:rsidRPr="008A3CC4">
        <w:rPr>
          <w:rFonts w:ascii="Frutiger-BoldCn" w:hAnsi="Frutiger-BoldCn" w:cs="Frutiger-BoldCn"/>
          <w:b/>
          <w:bCs/>
          <w:u w:val="single"/>
        </w:rPr>
        <w:tab/>
      </w:r>
      <w:r w:rsidR="00314E00" w:rsidRPr="008A3CC4">
        <w:rPr>
          <w:rFonts w:ascii="Frutiger-BoldCn" w:hAnsi="Frutiger-BoldCn" w:cs="Frutiger-BoldCn"/>
          <w:b/>
          <w:bCs/>
          <w:u w:val="single"/>
        </w:rPr>
        <w:tab/>
        <w:t>(K</w:t>
      </w:r>
      <w:r w:rsidRPr="008A3CC4">
        <w:rPr>
          <w:rFonts w:ascii="Frutiger-BoldCn" w:hAnsi="Frutiger-BoldCn" w:cs="Frutiger-BoldCn"/>
          <w:b/>
          <w:bCs/>
          <w:u w:val="single"/>
        </w:rPr>
        <w:t>g/1.000 kg de aceitunas)</w:t>
      </w:r>
    </w:p>
    <w:p w:rsidR="004D36C2" w:rsidRPr="008A3CC4" w:rsidRDefault="004D36C2" w:rsidP="004D36C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8A3CC4">
        <w:rPr>
          <w:rFonts w:ascii="Frutiger-Cn" w:hAnsi="Frutiger-Cn" w:cs="Frutiger-Cn"/>
        </w:rPr>
        <w:t xml:space="preserve">N </w:t>
      </w:r>
      <w:r w:rsidRPr="008A3CC4">
        <w:rPr>
          <w:rFonts w:ascii="Frutiger-Cn" w:hAnsi="Frutiger-Cn" w:cs="Frutiger-Cn"/>
        </w:rPr>
        <w:tab/>
      </w:r>
      <w:r w:rsidRPr="008A3CC4">
        <w:rPr>
          <w:rFonts w:ascii="Frutiger-Cn" w:hAnsi="Frutiger-Cn" w:cs="Frutiger-Cn"/>
        </w:rPr>
        <w:tab/>
      </w:r>
      <w:r w:rsidRPr="008A3CC4">
        <w:rPr>
          <w:rFonts w:ascii="Frutiger-Cn" w:hAnsi="Frutiger-Cn" w:cs="Frutiger-Cn"/>
        </w:rPr>
        <w:tab/>
        <w:t>15 a 20</w:t>
      </w:r>
    </w:p>
    <w:p w:rsidR="004D36C2" w:rsidRPr="008A3CC4" w:rsidRDefault="004D36C2" w:rsidP="004D36C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8A3CC4">
        <w:rPr>
          <w:rFonts w:ascii="Frutiger-Cn" w:hAnsi="Frutiger-Cn" w:cs="Frutiger-Cn"/>
        </w:rPr>
        <w:t xml:space="preserve">P2O5 </w:t>
      </w:r>
      <w:r w:rsidRPr="008A3CC4">
        <w:rPr>
          <w:rFonts w:ascii="Frutiger-Cn" w:hAnsi="Frutiger-Cn" w:cs="Frutiger-Cn"/>
        </w:rPr>
        <w:tab/>
      </w:r>
      <w:r w:rsidRPr="008A3CC4">
        <w:rPr>
          <w:rFonts w:ascii="Frutiger-Cn" w:hAnsi="Frutiger-Cn" w:cs="Frutiger-Cn"/>
        </w:rPr>
        <w:tab/>
      </w:r>
      <w:r w:rsidRPr="008A3CC4">
        <w:rPr>
          <w:rFonts w:ascii="Frutiger-Cn" w:hAnsi="Frutiger-Cn" w:cs="Frutiger-Cn"/>
        </w:rPr>
        <w:tab/>
        <w:t>4 a 5</w:t>
      </w:r>
    </w:p>
    <w:p w:rsidR="004D36C2" w:rsidRPr="008A3CC4" w:rsidRDefault="004D36C2" w:rsidP="004D36C2">
      <w:pPr>
        <w:jc w:val="both"/>
        <w:rPr>
          <w:rFonts w:ascii="Frutiger-Cn" w:hAnsi="Frutiger-Cn" w:cs="Frutiger-Cn"/>
        </w:rPr>
      </w:pPr>
      <w:r w:rsidRPr="008A3CC4">
        <w:rPr>
          <w:rFonts w:ascii="Frutiger-Cn" w:hAnsi="Frutiger-Cn" w:cs="Frutiger-Cn"/>
        </w:rPr>
        <w:t xml:space="preserve">K2O </w:t>
      </w:r>
      <w:r w:rsidRPr="008A3CC4">
        <w:rPr>
          <w:rFonts w:ascii="Frutiger-Cn" w:hAnsi="Frutiger-Cn" w:cs="Frutiger-Cn"/>
        </w:rPr>
        <w:tab/>
      </w:r>
      <w:r w:rsidRPr="008A3CC4">
        <w:rPr>
          <w:rFonts w:ascii="Frutiger-Cn" w:hAnsi="Frutiger-Cn" w:cs="Frutiger-Cn"/>
        </w:rPr>
        <w:tab/>
      </w:r>
      <w:r w:rsidRPr="008A3CC4">
        <w:rPr>
          <w:rFonts w:ascii="Frutiger-Cn" w:hAnsi="Frutiger-Cn" w:cs="Frutiger-Cn"/>
        </w:rPr>
        <w:tab/>
        <w:t>20 a 25</w:t>
      </w:r>
    </w:p>
    <w:p w:rsidR="00323DFF" w:rsidRDefault="00314E00" w:rsidP="004D36C2">
      <w:pPr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Por tanto con los niveles de producción de nuestra zona, la extracción media por hectárea de nutrientes se situará en:</w:t>
      </w:r>
    </w:p>
    <w:p w:rsidR="00314E00" w:rsidRPr="008A3CC4" w:rsidRDefault="00314E00" w:rsidP="00314E00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u w:val="single"/>
        </w:rPr>
      </w:pPr>
      <w:r w:rsidRPr="008A3CC4">
        <w:rPr>
          <w:rFonts w:ascii="Frutiger-BoldCn" w:hAnsi="Frutiger-BoldCn" w:cs="Frutiger-BoldCn"/>
          <w:b/>
          <w:bCs/>
          <w:u w:val="single"/>
        </w:rPr>
        <w:t xml:space="preserve">Nutrientes </w:t>
      </w:r>
      <w:r w:rsidRPr="008A3CC4">
        <w:rPr>
          <w:rFonts w:ascii="Frutiger-BoldCn" w:hAnsi="Frutiger-BoldCn" w:cs="Frutiger-BoldCn"/>
          <w:b/>
          <w:bCs/>
          <w:u w:val="single"/>
        </w:rPr>
        <w:tab/>
      </w:r>
      <w:r w:rsidRPr="008A3CC4">
        <w:rPr>
          <w:rFonts w:ascii="Frutiger-BoldCn" w:hAnsi="Frutiger-BoldCn" w:cs="Frutiger-BoldCn"/>
          <w:b/>
          <w:bCs/>
          <w:u w:val="single"/>
        </w:rPr>
        <w:tab/>
        <w:t>(Kg/1.500 kg de aceitunas)</w:t>
      </w:r>
    </w:p>
    <w:p w:rsidR="00314E00" w:rsidRPr="008A3CC4" w:rsidRDefault="00314E00" w:rsidP="00314E0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8A3CC4">
        <w:rPr>
          <w:rFonts w:ascii="Frutiger-Cn" w:hAnsi="Frutiger-Cn" w:cs="Frutiger-Cn"/>
        </w:rPr>
        <w:t xml:space="preserve">N </w:t>
      </w:r>
      <w:r w:rsidRPr="008A3CC4">
        <w:rPr>
          <w:rFonts w:ascii="Frutiger-Cn" w:hAnsi="Frutiger-Cn" w:cs="Frutiger-Cn"/>
        </w:rPr>
        <w:tab/>
      </w:r>
      <w:r w:rsidRPr="008A3CC4">
        <w:rPr>
          <w:rFonts w:ascii="Frutiger-Cn" w:hAnsi="Frutiger-Cn" w:cs="Frutiger-Cn"/>
        </w:rPr>
        <w:tab/>
      </w:r>
      <w:r w:rsidRPr="008A3CC4">
        <w:rPr>
          <w:rFonts w:ascii="Frutiger-Cn" w:hAnsi="Frutiger-Cn" w:cs="Frutiger-Cn"/>
        </w:rPr>
        <w:tab/>
        <w:t>30</w:t>
      </w:r>
    </w:p>
    <w:p w:rsidR="00314E00" w:rsidRPr="008A3CC4" w:rsidRDefault="00314E00" w:rsidP="00314E00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</w:rPr>
      </w:pPr>
      <w:r w:rsidRPr="008A3CC4">
        <w:rPr>
          <w:rFonts w:ascii="Frutiger-Cn" w:hAnsi="Frutiger-Cn" w:cs="Frutiger-Cn"/>
        </w:rPr>
        <w:t xml:space="preserve">P2O5 </w:t>
      </w:r>
      <w:r w:rsidRPr="008A3CC4">
        <w:rPr>
          <w:rFonts w:ascii="Frutiger-Cn" w:hAnsi="Frutiger-Cn" w:cs="Frutiger-Cn"/>
        </w:rPr>
        <w:tab/>
      </w:r>
      <w:r w:rsidRPr="008A3CC4">
        <w:rPr>
          <w:rFonts w:ascii="Frutiger-Cn" w:hAnsi="Frutiger-Cn" w:cs="Frutiger-Cn"/>
        </w:rPr>
        <w:tab/>
      </w:r>
      <w:r w:rsidRPr="008A3CC4">
        <w:rPr>
          <w:rFonts w:ascii="Frutiger-Cn" w:hAnsi="Frutiger-Cn" w:cs="Frutiger-Cn"/>
        </w:rPr>
        <w:tab/>
        <w:t>7.5</w:t>
      </w:r>
    </w:p>
    <w:p w:rsidR="00314E00" w:rsidRDefault="00314E00" w:rsidP="00314E00">
      <w:pPr>
        <w:jc w:val="both"/>
        <w:rPr>
          <w:rFonts w:ascii="Arial" w:hAnsi="Arial" w:cs="Arial"/>
        </w:rPr>
      </w:pPr>
      <w:r w:rsidRPr="008A3CC4">
        <w:rPr>
          <w:rFonts w:ascii="Arial" w:hAnsi="Arial" w:cs="Arial"/>
        </w:rPr>
        <w:t xml:space="preserve">K2O </w:t>
      </w:r>
      <w:r w:rsidRPr="008A3CC4">
        <w:rPr>
          <w:rFonts w:ascii="Arial" w:hAnsi="Arial" w:cs="Arial"/>
        </w:rPr>
        <w:tab/>
      </w:r>
      <w:r w:rsidRPr="008A3CC4">
        <w:rPr>
          <w:rFonts w:ascii="Arial" w:hAnsi="Arial" w:cs="Arial"/>
        </w:rPr>
        <w:tab/>
      </w:r>
      <w:r w:rsidRPr="008A3CC4">
        <w:rPr>
          <w:rFonts w:ascii="Arial" w:hAnsi="Arial" w:cs="Arial"/>
        </w:rPr>
        <w:tab/>
        <w:t>37.5</w:t>
      </w:r>
    </w:p>
    <w:p w:rsidR="00B11C5F" w:rsidRPr="008A3CC4" w:rsidRDefault="00B11C5F" w:rsidP="00314E00">
      <w:pPr>
        <w:jc w:val="both"/>
        <w:rPr>
          <w:rFonts w:ascii="Arial" w:hAnsi="Arial" w:cs="Arial"/>
        </w:rPr>
      </w:pPr>
    </w:p>
    <w:p w:rsidR="00314E00" w:rsidRDefault="00314E00" w:rsidP="004D36C2">
      <w:pPr>
        <w:jc w:val="both"/>
        <w:rPr>
          <w:rFonts w:ascii="Frutiger-Cn" w:hAnsi="Frutiger-Cn" w:cs="Frutiger-Cn"/>
          <w:b/>
          <w:sz w:val="24"/>
          <w:szCs w:val="24"/>
        </w:rPr>
      </w:pPr>
      <w:r w:rsidRPr="00314E00">
        <w:rPr>
          <w:rFonts w:ascii="Frutiger-Cn" w:hAnsi="Frutiger-Cn" w:cs="Frutiger-Cn"/>
          <w:b/>
          <w:sz w:val="24"/>
          <w:szCs w:val="24"/>
        </w:rPr>
        <w:lastRenderedPageBreak/>
        <w:t>4.- Recomendaciones de abonado.</w:t>
      </w:r>
    </w:p>
    <w:p w:rsidR="00314E00" w:rsidRDefault="00314E00" w:rsidP="004D36C2">
      <w:pPr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El periodo de fertilizac</w:t>
      </w:r>
      <w:r w:rsidR="00323DFF">
        <w:rPr>
          <w:rFonts w:ascii="Frutiger-Cn" w:hAnsi="Frutiger-Cn" w:cs="Frutiger-Cn"/>
          <w:sz w:val="24"/>
          <w:szCs w:val="24"/>
        </w:rPr>
        <w:t>ión de olivar lo podemos acotar de acuerdo a</w:t>
      </w:r>
      <w:r>
        <w:rPr>
          <w:rFonts w:ascii="Frutiger-Cn" w:hAnsi="Frutiger-Cn" w:cs="Frutiger-Cn"/>
          <w:sz w:val="24"/>
          <w:szCs w:val="24"/>
        </w:rPr>
        <w:t>:</w:t>
      </w:r>
    </w:p>
    <w:p w:rsidR="00314E00" w:rsidRDefault="00323DFF" w:rsidP="00314E00">
      <w:pPr>
        <w:pStyle w:val="Prrafodelista"/>
        <w:numPr>
          <w:ilvl w:val="0"/>
          <w:numId w:val="1"/>
        </w:numPr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Si aplicamos de forma conjunta e</w:t>
      </w:r>
      <w:r w:rsidR="00314E00">
        <w:rPr>
          <w:rFonts w:ascii="Frutiger-Cn" w:hAnsi="Frutiger-Cn" w:cs="Frutiger-Cn"/>
          <w:sz w:val="24"/>
          <w:szCs w:val="24"/>
        </w:rPr>
        <w:t>l fósforo y el potasio, sin nitrógeno,</w:t>
      </w:r>
      <w:r w:rsidR="00B14FAF">
        <w:rPr>
          <w:rFonts w:ascii="Frutiger-Cn" w:hAnsi="Frutiger-Cn" w:cs="Frutiger-Cn"/>
          <w:sz w:val="24"/>
          <w:szCs w:val="24"/>
        </w:rPr>
        <w:t xml:space="preserve"> o con un porcentaje de nitrógeno muy bajo,</w:t>
      </w:r>
      <w:r w:rsidR="00314E00">
        <w:rPr>
          <w:rFonts w:ascii="Frutiger-Cn" w:hAnsi="Frutiger-Cn" w:cs="Frutiger-Cn"/>
          <w:sz w:val="24"/>
          <w:szCs w:val="24"/>
        </w:rPr>
        <w:t xml:space="preserve"> </w:t>
      </w:r>
      <w:r>
        <w:rPr>
          <w:rFonts w:ascii="Frutiger-Cn" w:hAnsi="Frutiger-Cn" w:cs="Frutiger-Cn"/>
          <w:sz w:val="24"/>
          <w:szCs w:val="24"/>
        </w:rPr>
        <w:t xml:space="preserve">el abonado lo </w:t>
      </w:r>
      <w:r w:rsidR="00314E00">
        <w:rPr>
          <w:rFonts w:ascii="Frutiger-Cn" w:hAnsi="Frutiger-Cn" w:cs="Frutiger-Cn"/>
          <w:sz w:val="24"/>
          <w:szCs w:val="24"/>
        </w:rPr>
        <w:t xml:space="preserve">podemos </w:t>
      </w:r>
      <w:r>
        <w:rPr>
          <w:rFonts w:ascii="Frutiger-Cn" w:hAnsi="Frutiger-Cn" w:cs="Frutiger-Cn"/>
          <w:sz w:val="24"/>
          <w:szCs w:val="24"/>
        </w:rPr>
        <w:t>realizar</w:t>
      </w:r>
      <w:r w:rsidR="00314E00">
        <w:rPr>
          <w:rFonts w:ascii="Frutiger-Cn" w:hAnsi="Frutiger-Cn" w:cs="Frutiger-Cn"/>
          <w:sz w:val="24"/>
          <w:szCs w:val="24"/>
        </w:rPr>
        <w:t xml:space="preserve"> en otoño (noviembre). En esta época no es recomendable aplicar nitrógeno por las pérdidas que con toda seguridad se producirán por lavado del mismo en el perfil del suelo (lixiviación)</w:t>
      </w:r>
      <w:r w:rsidR="00504B7C">
        <w:rPr>
          <w:rFonts w:ascii="Frutiger-Cn" w:hAnsi="Frutiger-Cn" w:cs="Frutiger-Cn"/>
          <w:sz w:val="24"/>
          <w:szCs w:val="24"/>
        </w:rPr>
        <w:t xml:space="preserve"> por las lluvias de otoño</w:t>
      </w:r>
      <w:r w:rsidR="00314E00">
        <w:rPr>
          <w:rFonts w:ascii="Frutiger-Cn" w:hAnsi="Frutiger-Cn" w:cs="Frutiger-Cn"/>
          <w:sz w:val="24"/>
          <w:szCs w:val="24"/>
        </w:rPr>
        <w:t>.</w:t>
      </w:r>
    </w:p>
    <w:p w:rsidR="00314E00" w:rsidRDefault="00314E00" w:rsidP="00314E00">
      <w:pPr>
        <w:pStyle w:val="Prrafodelista"/>
        <w:numPr>
          <w:ilvl w:val="0"/>
          <w:numId w:val="1"/>
        </w:numPr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 xml:space="preserve">Se aplicamos los tres nutrientes en el mismo fertilizante (complejo o de mezcla, da igual) </w:t>
      </w:r>
      <w:r w:rsidR="00B14FAF">
        <w:rPr>
          <w:rFonts w:ascii="Frutiger-Cn" w:hAnsi="Frutiger-Cn" w:cs="Frutiger-Cn"/>
          <w:sz w:val="24"/>
          <w:szCs w:val="24"/>
        </w:rPr>
        <w:t xml:space="preserve">con un alto porcentaje de nitrógeno, </w:t>
      </w:r>
      <w:r>
        <w:rPr>
          <w:rFonts w:ascii="Frutiger-Cn" w:hAnsi="Frutiger-Cn" w:cs="Frutiger-Cn"/>
          <w:sz w:val="24"/>
          <w:szCs w:val="24"/>
        </w:rPr>
        <w:t xml:space="preserve">es recomendable aplicar </w:t>
      </w:r>
      <w:r w:rsidR="00B067AA">
        <w:rPr>
          <w:rFonts w:ascii="Frutiger-Cn" w:hAnsi="Frutiger-Cn" w:cs="Frutiger-Cn"/>
          <w:sz w:val="24"/>
          <w:szCs w:val="24"/>
        </w:rPr>
        <w:t>el fertilizantes en la primavera (marzo-abril).</w:t>
      </w:r>
    </w:p>
    <w:p w:rsidR="00B067AA" w:rsidRPr="00B067AA" w:rsidRDefault="00B067AA" w:rsidP="00B067AA">
      <w:pPr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Las fórmulas  de mezcla que nosotros fabricamos son:</w:t>
      </w:r>
    </w:p>
    <w:p w:rsidR="00B067AA" w:rsidRDefault="00B067AA" w:rsidP="00B067A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B067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PK(S) 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Pr="00B067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ezcla 0-12-17 (17)</w:t>
      </w:r>
    </w:p>
    <w:p w:rsidR="00B14FAF" w:rsidRPr="00B067AA" w:rsidRDefault="00B14FAF" w:rsidP="00B067A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NPK(S) Mezcla 5-11-10 (29)</w:t>
      </w:r>
    </w:p>
    <w:p w:rsidR="00B067AA" w:rsidRPr="00B067AA" w:rsidRDefault="00B067AA" w:rsidP="00B067A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NPK</w:t>
      </w:r>
      <w:r w:rsidRPr="00B067A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(S) Mezcla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20-5-10 (10)</w:t>
      </w:r>
    </w:p>
    <w:p w:rsidR="00504B7C" w:rsidRDefault="00504B7C" w:rsidP="004D36C2">
      <w:pPr>
        <w:jc w:val="both"/>
        <w:rPr>
          <w:rFonts w:ascii="Frutiger-Cn" w:hAnsi="Frutiger-Cn" w:cs="Frutiger-Cn"/>
          <w:sz w:val="24"/>
          <w:szCs w:val="24"/>
        </w:rPr>
      </w:pPr>
    </w:p>
    <w:p w:rsidR="00B067AA" w:rsidRDefault="00872B7D" w:rsidP="004D36C2">
      <w:pPr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 xml:space="preserve">Si </w:t>
      </w:r>
      <w:r w:rsidRPr="00833B7C">
        <w:rPr>
          <w:rFonts w:ascii="Frutiger-Cn" w:hAnsi="Frutiger-Cn" w:cs="Frutiger-Cn"/>
          <w:b/>
          <w:sz w:val="24"/>
          <w:szCs w:val="24"/>
        </w:rPr>
        <w:t>no aplicamos</w:t>
      </w:r>
      <w:r>
        <w:rPr>
          <w:rFonts w:ascii="Frutiger-Cn" w:hAnsi="Frutiger-Cn" w:cs="Frutiger-Cn"/>
          <w:sz w:val="24"/>
          <w:szCs w:val="24"/>
        </w:rPr>
        <w:t xml:space="preserve"> un abono </w:t>
      </w:r>
      <w:r w:rsidR="008032AE">
        <w:rPr>
          <w:rFonts w:ascii="Frutiger-Cn" w:hAnsi="Frutiger-Cn" w:cs="Frutiger-Cn"/>
          <w:sz w:val="24"/>
          <w:szCs w:val="24"/>
        </w:rPr>
        <w:t>de una sola vez (</w:t>
      </w:r>
      <w:r>
        <w:rPr>
          <w:rFonts w:ascii="Frutiger-Cn" w:hAnsi="Frutiger-Cn" w:cs="Frutiger-Cn"/>
          <w:sz w:val="24"/>
          <w:szCs w:val="24"/>
        </w:rPr>
        <w:t>ternario (NPK)</w:t>
      </w:r>
      <w:r w:rsidR="008032AE">
        <w:rPr>
          <w:rFonts w:ascii="Frutiger-Cn" w:hAnsi="Frutiger-Cn" w:cs="Frutiger-Cn"/>
          <w:sz w:val="24"/>
          <w:szCs w:val="24"/>
        </w:rPr>
        <w:t>,</w:t>
      </w:r>
      <w:r>
        <w:rPr>
          <w:rFonts w:ascii="Frutiger-Cn" w:hAnsi="Frutiger-Cn" w:cs="Frutiger-Cn"/>
          <w:sz w:val="24"/>
          <w:szCs w:val="24"/>
        </w:rPr>
        <w:t xml:space="preserve"> en primavera aplicaremos un fertilizante </w:t>
      </w:r>
      <w:r w:rsidR="00B067AA">
        <w:rPr>
          <w:rFonts w:ascii="Frutiger-Cn" w:hAnsi="Frutiger-Cn" w:cs="Frutiger-Cn"/>
          <w:sz w:val="24"/>
          <w:szCs w:val="24"/>
        </w:rPr>
        <w:t>nitrogenado</w:t>
      </w:r>
      <w:r>
        <w:rPr>
          <w:rFonts w:ascii="Frutiger-Cn" w:hAnsi="Frutiger-Cn" w:cs="Frutiger-Cn"/>
          <w:sz w:val="24"/>
          <w:szCs w:val="24"/>
        </w:rPr>
        <w:t>.</w:t>
      </w:r>
      <w:r w:rsidR="00504B7C">
        <w:rPr>
          <w:rFonts w:ascii="Frutiger-Cn" w:hAnsi="Frutiger-Cn" w:cs="Frutiger-Cn"/>
          <w:sz w:val="24"/>
          <w:szCs w:val="24"/>
        </w:rPr>
        <w:t xml:space="preserve"> </w:t>
      </w:r>
      <w:r>
        <w:rPr>
          <w:rFonts w:ascii="Frutiger-Cn" w:hAnsi="Frutiger-Cn" w:cs="Frutiger-Cn"/>
          <w:sz w:val="24"/>
          <w:szCs w:val="24"/>
        </w:rPr>
        <w:t>R</w:t>
      </w:r>
      <w:r w:rsidR="00B067AA">
        <w:rPr>
          <w:rFonts w:ascii="Frutiger-Cn" w:hAnsi="Frutiger-Cn" w:cs="Frutiger-Cn"/>
          <w:sz w:val="24"/>
          <w:szCs w:val="24"/>
        </w:rPr>
        <w:t>ecomendamos</w:t>
      </w:r>
      <w:r>
        <w:rPr>
          <w:rFonts w:ascii="Frutiger-Cn" w:hAnsi="Frutiger-Cn" w:cs="Frutiger-Cn"/>
          <w:sz w:val="24"/>
          <w:szCs w:val="24"/>
        </w:rPr>
        <w:t xml:space="preserve"> </w:t>
      </w:r>
      <w:r w:rsidR="00504B7C">
        <w:rPr>
          <w:rFonts w:ascii="Frutiger-Cn" w:hAnsi="Frutiger-Cn" w:cs="Frutiger-Cn"/>
          <w:sz w:val="24"/>
          <w:szCs w:val="24"/>
        </w:rPr>
        <w:t>fertilizantes nitrogenados con azufre soluble</w:t>
      </w:r>
      <w:r>
        <w:rPr>
          <w:rFonts w:ascii="Frutiger-Cn" w:hAnsi="Frutiger-Cn" w:cs="Frutiger-Cn"/>
          <w:sz w:val="24"/>
          <w:szCs w:val="24"/>
        </w:rPr>
        <w:t xml:space="preserve"> al agua tales como</w:t>
      </w:r>
      <w:r w:rsidR="00B067AA">
        <w:rPr>
          <w:rFonts w:ascii="Frutiger-Cn" w:hAnsi="Frutiger-Cn" w:cs="Frutiger-Cn"/>
          <w:sz w:val="24"/>
          <w:szCs w:val="24"/>
        </w:rPr>
        <w:t>:</w:t>
      </w:r>
    </w:p>
    <w:p w:rsidR="00B067AA" w:rsidRDefault="00B067AA" w:rsidP="00B067AA">
      <w:pPr>
        <w:pStyle w:val="Prrafodelista"/>
        <w:numPr>
          <w:ilvl w:val="0"/>
          <w:numId w:val="3"/>
        </w:numPr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Sulfato amónico 21%</w:t>
      </w:r>
      <w:r w:rsidR="00872B7D">
        <w:rPr>
          <w:rFonts w:ascii="Frutiger-Cn" w:hAnsi="Frutiger-Cn" w:cs="Frutiger-Cn"/>
          <w:sz w:val="24"/>
          <w:szCs w:val="24"/>
        </w:rPr>
        <w:t xml:space="preserve"> (N-21%, SO</w:t>
      </w:r>
      <w:r w:rsidR="00872B7D" w:rsidRPr="00872B7D">
        <w:rPr>
          <w:rFonts w:ascii="Frutiger-Cn" w:hAnsi="Frutiger-Cn" w:cs="Frutiger-Cn"/>
          <w:sz w:val="24"/>
          <w:szCs w:val="24"/>
          <w:vertAlign w:val="subscript"/>
        </w:rPr>
        <w:t>3</w:t>
      </w:r>
      <w:r w:rsidR="00872B7D">
        <w:rPr>
          <w:rFonts w:ascii="Frutiger-Cn" w:hAnsi="Frutiger-Cn" w:cs="Frutiger-Cn"/>
          <w:sz w:val="24"/>
          <w:szCs w:val="24"/>
        </w:rPr>
        <w:t>-60%)</w:t>
      </w:r>
    </w:p>
    <w:p w:rsidR="00872B7D" w:rsidRPr="00872B7D" w:rsidRDefault="00B067AA" w:rsidP="0000421A">
      <w:pPr>
        <w:pStyle w:val="Prrafodelista"/>
        <w:numPr>
          <w:ilvl w:val="0"/>
          <w:numId w:val="3"/>
        </w:numPr>
        <w:jc w:val="both"/>
        <w:rPr>
          <w:rFonts w:ascii="Frutiger-Cn" w:hAnsi="Frutiger-Cn" w:cs="Frutiger-Cn"/>
          <w:b/>
          <w:sz w:val="24"/>
          <w:szCs w:val="24"/>
        </w:rPr>
      </w:pPr>
      <w:r w:rsidRPr="00872B7D">
        <w:rPr>
          <w:rFonts w:ascii="Frutiger-Cn" w:hAnsi="Frutiger-Cn" w:cs="Frutiger-Cn"/>
          <w:b/>
          <w:sz w:val="24"/>
          <w:szCs w:val="24"/>
        </w:rPr>
        <w:t>ALCAFER NITRO 26%</w:t>
      </w:r>
      <w:r w:rsidR="00872B7D" w:rsidRPr="00872B7D">
        <w:rPr>
          <w:rFonts w:ascii="Frutiger-Cn" w:hAnsi="Frutiger-Cn" w:cs="Frutiger-Cn"/>
          <w:b/>
          <w:sz w:val="24"/>
          <w:szCs w:val="24"/>
        </w:rPr>
        <w:t xml:space="preserve"> (N-26%, </w:t>
      </w:r>
      <w:r w:rsidR="00872B7D">
        <w:rPr>
          <w:rFonts w:ascii="Frutiger-Cn" w:hAnsi="Frutiger-Cn" w:cs="Frutiger-Cn"/>
          <w:sz w:val="24"/>
          <w:szCs w:val="24"/>
        </w:rPr>
        <w:t>SO</w:t>
      </w:r>
      <w:r w:rsidR="00872B7D" w:rsidRPr="00872B7D">
        <w:rPr>
          <w:rFonts w:ascii="Frutiger-Cn" w:hAnsi="Frutiger-Cn" w:cs="Frutiger-Cn"/>
          <w:sz w:val="24"/>
          <w:szCs w:val="24"/>
          <w:vertAlign w:val="subscript"/>
        </w:rPr>
        <w:t>3</w:t>
      </w:r>
      <w:r w:rsidR="00872B7D">
        <w:rPr>
          <w:rFonts w:ascii="Frutiger-Cn" w:hAnsi="Frutiger-Cn" w:cs="Frutiger-Cn"/>
          <w:sz w:val="24"/>
          <w:szCs w:val="24"/>
        </w:rPr>
        <w:t>-</w:t>
      </w:r>
      <w:r w:rsidR="008032AE">
        <w:rPr>
          <w:rFonts w:ascii="Frutiger-Cn" w:hAnsi="Frutiger-Cn" w:cs="Frutiger-Cn"/>
          <w:sz w:val="24"/>
          <w:szCs w:val="24"/>
        </w:rPr>
        <w:t>48</w:t>
      </w:r>
      <w:r w:rsidR="00872B7D">
        <w:rPr>
          <w:rFonts w:ascii="Frutiger-Cn" w:hAnsi="Frutiger-Cn" w:cs="Frutiger-Cn"/>
          <w:sz w:val="24"/>
          <w:szCs w:val="24"/>
        </w:rPr>
        <w:t>%)</w:t>
      </w:r>
    </w:p>
    <w:p w:rsidR="0000421A" w:rsidRPr="00872B7D" w:rsidRDefault="0000421A" w:rsidP="00872B7D">
      <w:pPr>
        <w:ind w:left="360"/>
        <w:jc w:val="both"/>
        <w:rPr>
          <w:rFonts w:ascii="Frutiger-Cn" w:hAnsi="Frutiger-Cn" w:cs="Frutiger-Cn"/>
          <w:b/>
          <w:sz w:val="24"/>
          <w:szCs w:val="24"/>
        </w:rPr>
      </w:pPr>
      <w:r w:rsidRPr="00872B7D">
        <w:rPr>
          <w:rFonts w:ascii="Frutiger-Cn" w:hAnsi="Frutiger-Cn" w:cs="Frutiger-Cn"/>
          <w:b/>
          <w:sz w:val="24"/>
          <w:szCs w:val="24"/>
        </w:rPr>
        <w:t>5.- Dosis de abonado por hectárea.</w:t>
      </w:r>
    </w:p>
    <w:p w:rsidR="00504B7C" w:rsidRDefault="0000421A" w:rsidP="0000421A">
      <w:pPr>
        <w:jc w:val="both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>Las necesidades de fósforo  por hectárea de acuerdo al cuadro de extracciones las incrementaremos un 20% dado el bajo nivel de fósforo asimilable en el suelo. En el caso del potasio nos permitiremos más libertad dado el alto nivel presente el suelo.</w:t>
      </w:r>
    </w:p>
    <w:tbl>
      <w:tblPr>
        <w:tblStyle w:val="Cuadrculaclara-nfasis1"/>
        <w:tblW w:w="5762" w:type="dxa"/>
        <w:tblInd w:w="867" w:type="dxa"/>
        <w:tblLook w:val="04A0"/>
      </w:tblPr>
      <w:tblGrid>
        <w:gridCol w:w="2943"/>
        <w:gridCol w:w="1260"/>
        <w:gridCol w:w="1559"/>
      </w:tblGrid>
      <w:tr w:rsidR="00872B7D" w:rsidRPr="00504B7C" w:rsidTr="00872B7D">
        <w:trPr>
          <w:cnfStyle w:val="100000000000"/>
        </w:trPr>
        <w:tc>
          <w:tcPr>
            <w:cnfStyle w:val="001000000000"/>
            <w:tcW w:w="2943" w:type="dxa"/>
          </w:tcPr>
          <w:p w:rsidR="00872B7D" w:rsidRPr="00504B7C" w:rsidRDefault="00872B7D" w:rsidP="00872B7D">
            <w:pPr>
              <w:jc w:val="center"/>
              <w:rPr>
                <w:rFonts w:ascii="Frutiger-Cn" w:hAnsi="Frutiger-Cn" w:cs="Frutiger-Cn"/>
                <w:sz w:val="18"/>
                <w:szCs w:val="18"/>
              </w:rPr>
            </w:pPr>
            <w:r w:rsidRPr="00504B7C">
              <w:rPr>
                <w:rFonts w:ascii="Frutiger-Cn" w:hAnsi="Frutiger-Cn" w:cs="Frutiger-Cn"/>
                <w:sz w:val="18"/>
                <w:szCs w:val="18"/>
              </w:rPr>
              <w:t>Fórmula</w:t>
            </w:r>
          </w:p>
        </w:tc>
        <w:tc>
          <w:tcPr>
            <w:tcW w:w="1260" w:type="dxa"/>
          </w:tcPr>
          <w:p w:rsidR="00872B7D" w:rsidRPr="00504B7C" w:rsidRDefault="00872B7D" w:rsidP="00872B7D">
            <w:pPr>
              <w:jc w:val="center"/>
              <w:cnfStyle w:val="100000000000"/>
              <w:rPr>
                <w:rFonts w:ascii="Frutiger-Cn" w:hAnsi="Frutiger-Cn" w:cs="Frutiger-Cn"/>
                <w:sz w:val="18"/>
                <w:szCs w:val="18"/>
              </w:rPr>
            </w:pPr>
            <w:r w:rsidRPr="00504B7C">
              <w:rPr>
                <w:rFonts w:ascii="Frutiger-Cn" w:hAnsi="Frutiger-Cn" w:cs="Frutiger-Cn"/>
                <w:sz w:val="18"/>
                <w:szCs w:val="18"/>
              </w:rPr>
              <w:t>Kg/Ha</w:t>
            </w:r>
          </w:p>
        </w:tc>
        <w:tc>
          <w:tcPr>
            <w:tcW w:w="1559" w:type="dxa"/>
          </w:tcPr>
          <w:p w:rsidR="00872B7D" w:rsidRPr="00504B7C" w:rsidRDefault="00872B7D" w:rsidP="00872B7D">
            <w:pPr>
              <w:jc w:val="center"/>
              <w:cnfStyle w:val="100000000000"/>
              <w:rPr>
                <w:rFonts w:ascii="Frutiger-Cn" w:hAnsi="Frutiger-Cn" w:cs="Frutiger-Cn"/>
                <w:sz w:val="18"/>
                <w:szCs w:val="18"/>
              </w:rPr>
            </w:pPr>
            <w:r w:rsidRPr="00504B7C">
              <w:rPr>
                <w:rFonts w:ascii="Frutiger-Cn" w:hAnsi="Frutiger-Cn" w:cs="Frutiger-Cn"/>
                <w:sz w:val="18"/>
                <w:szCs w:val="18"/>
              </w:rPr>
              <w:t>Kg/árbol (1)</w:t>
            </w:r>
          </w:p>
        </w:tc>
      </w:tr>
      <w:tr w:rsidR="00872B7D" w:rsidRPr="00504B7C" w:rsidTr="00504B7C">
        <w:trPr>
          <w:cnfStyle w:val="000000100000"/>
          <w:trHeight w:val="379"/>
        </w:trPr>
        <w:tc>
          <w:tcPr>
            <w:cnfStyle w:val="001000000000"/>
            <w:tcW w:w="2943" w:type="dxa"/>
          </w:tcPr>
          <w:p w:rsidR="00872B7D" w:rsidRPr="00504B7C" w:rsidRDefault="00872B7D" w:rsidP="0000421A">
            <w:pPr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eastAsia="es-ES"/>
              </w:rPr>
            </w:pPr>
            <w:r w:rsidRPr="00504B7C">
              <w:rPr>
                <w:rFonts w:ascii="Arial" w:eastAsia="Times New Roman" w:hAnsi="Arial" w:cs="Arial"/>
                <w:b w:val="0"/>
                <w:sz w:val="18"/>
                <w:szCs w:val="18"/>
                <w:lang w:eastAsia="es-ES"/>
              </w:rPr>
              <w:t>PK(S)  Mezcla 0-12-17 (17)</w:t>
            </w:r>
          </w:p>
          <w:p w:rsidR="00872B7D" w:rsidRPr="00504B7C" w:rsidRDefault="00504B7C" w:rsidP="0000421A">
            <w:pPr>
              <w:jc w:val="both"/>
              <w:rPr>
                <w:rFonts w:ascii="Frutiger-Cn" w:hAnsi="Frutiger-Cn" w:cs="Frutiger-Cn"/>
                <w:b w:val="0"/>
                <w:sz w:val="16"/>
                <w:szCs w:val="16"/>
              </w:rPr>
            </w:pPr>
            <w:r w:rsidRPr="00504B7C">
              <w:rPr>
                <w:rFonts w:ascii="Frutiger-Cn" w:hAnsi="Frutiger-Cn" w:cs="Frutiger-Cn"/>
                <w:b w:val="0"/>
                <w:sz w:val="16"/>
                <w:szCs w:val="16"/>
              </w:rPr>
              <w:t>(2)</w:t>
            </w:r>
          </w:p>
        </w:tc>
        <w:tc>
          <w:tcPr>
            <w:tcW w:w="1260" w:type="dxa"/>
          </w:tcPr>
          <w:p w:rsidR="00872B7D" w:rsidRPr="00504B7C" w:rsidRDefault="00872B7D" w:rsidP="002232A2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04B7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872B7D" w:rsidRPr="00504B7C" w:rsidRDefault="00872B7D" w:rsidP="00504B7C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04B7C">
              <w:rPr>
                <w:rFonts w:ascii="Arial" w:hAnsi="Arial" w:cs="Arial"/>
                <w:sz w:val="18"/>
                <w:szCs w:val="18"/>
              </w:rPr>
              <w:t>0.</w:t>
            </w:r>
            <w:r w:rsidR="00504B7C">
              <w:rPr>
                <w:rFonts w:ascii="Arial" w:hAnsi="Arial" w:cs="Arial"/>
                <w:sz w:val="18"/>
                <w:szCs w:val="18"/>
              </w:rPr>
              <w:t>.65-0</w:t>
            </w:r>
            <w:r w:rsidRPr="00504B7C">
              <w:rPr>
                <w:rFonts w:ascii="Arial" w:hAnsi="Arial" w:cs="Arial"/>
                <w:sz w:val="18"/>
                <w:szCs w:val="18"/>
              </w:rPr>
              <w:t>.</w:t>
            </w:r>
            <w:r w:rsidR="00504B7C">
              <w:rPr>
                <w:rFonts w:ascii="Arial" w:hAnsi="Arial" w:cs="Arial"/>
                <w:sz w:val="18"/>
                <w:szCs w:val="18"/>
              </w:rPr>
              <w:t>75</w:t>
            </w:r>
          </w:p>
        </w:tc>
      </w:tr>
      <w:tr w:rsidR="00872B7D" w:rsidRPr="00504B7C" w:rsidTr="00504B7C">
        <w:trPr>
          <w:cnfStyle w:val="000000010000"/>
          <w:trHeight w:val="553"/>
        </w:trPr>
        <w:tc>
          <w:tcPr>
            <w:cnfStyle w:val="001000000000"/>
            <w:tcW w:w="2943" w:type="dxa"/>
          </w:tcPr>
          <w:p w:rsidR="00872B7D" w:rsidRPr="00504B7C" w:rsidRDefault="00872B7D" w:rsidP="0000421A">
            <w:pPr>
              <w:jc w:val="both"/>
              <w:rPr>
                <w:rFonts w:ascii="Arial" w:eastAsia="Times New Roman" w:hAnsi="Arial" w:cs="Arial"/>
                <w:b w:val="0"/>
                <w:sz w:val="18"/>
                <w:szCs w:val="18"/>
                <w:lang w:eastAsia="es-ES"/>
              </w:rPr>
            </w:pPr>
            <w:r w:rsidRPr="00504B7C">
              <w:rPr>
                <w:rFonts w:ascii="Arial" w:eastAsia="Times New Roman" w:hAnsi="Arial" w:cs="Arial"/>
                <w:b w:val="0"/>
                <w:sz w:val="18"/>
                <w:szCs w:val="18"/>
                <w:lang w:eastAsia="es-ES"/>
              </w:rPr>
              <w:t>NPK(S) Mezcla 20-5-10 (10)</w:t>
            </w:r>
          </w:p>
          <w:p w:rsidR="00872B7D" w:rsidRPr="00504B7C" w:rsidRDefault="00504B7C" w:rsidP="0000421A">
            <w:pPr>
              <w:jc w:val="both"/>
              <w:rPr>
                <w:rFonts w:ascii="Frutiger-Cn" w:hAnsi="Frutiger-Cn" w:cs="Frutiger-Cn"/>
                <w:b w:val="0"/>
                <w:sz w:val="16"/>
                <w:szCs w:val="16"/>
              </w:rPr>
            </w:pPr>
            <w:r w:rsidRPr="00504B7C">
              <w:rPr>
                <w:rFonts w:ascii="Frutiger-Cn" w:hAnsi="Frutiger-Cn" w:cs="Frutiger-Cn"/>
                <w:b w:val="0"/>
                <w:sz w:val="16"/>
                <w:szCs w:val="16"/>
              </w:rPr>
              <w:t>(3)</w:t>
            </w:r>
          </w:p>
        </w:tc>
        <w:tc>
          <w:tcPr>
            <w:tcW w:w="1260" w:type="dxa"/>
          </w:tcPr>
          <w:p w:rsidR="00872B7D" w:rsidRPr="00504B7C" w:rsidRDefault="00872B7D" w:rsidP="002232A2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504B7C">
              <w:rPr>
                <w:rFonts w:ascii="Arial" w:hAnsi="Arial" w:cs="Arial"/>
                <w:sz w:val="18"/>
                <w:szCs w:val="18"/>
              </w:rPr>
              <w:t>200</w:t>
            </w:r>
          </w:p>
          <w:p w:rsidR="00872B7D" w:rsidRPr="00504B7C" w:rsidRDefault="00872B7D" w:rsidP="002232A2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872B7D" w:rsidRPr="00504B7C" w:rsidRDefault="00872B7D" w:rsidP="002232A2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504B7C">
              <w:rPr>
                <w:rFonts w:ascii="Arial" w:hAnsi="Arial" w:cs="Arial"/>
                <w:sz w:val="18"/>
                <w:szCs w:val="18"/>
              </w:rPr>
              <w:t>1.33-1.50</w:t>
            </w:r>
          </w:p>
        </w:tc>
      </w:tr>
      <w:tr w:rsidR="00B14FAF" w:rsidRPr="00504B7C" w:rsidTr="00504B7C">
        <w:trPr>
          <w:cnfStyle w:val="000000100000"/>
          <w:trHeight w:val="405"/>
        </w:trPr>
        <w:tc>
          <w:tcPr>
            <w:cnfStyle w:val="001000000000"/>
            <w:tcW w:w="2943" w:type="dxa"/>
          </w:tcPr>
          <w:p w:rsidR="00B14FAF" w:rsidRDefault="00B14FAF" w:rsidP="0000421A">
            <w:pPr>
              <w:jc w:val="both"/>
              <w:rPr>
                <w:rFonts w:ascii="Frutiger-Cn" w:hAnsi="Frutiger-Cn" w:cs="Frutiger-Cn"/>
                <w:b w:val="0"/>
                <w:sz w:val="18"/>
                <w:szCs w:val="18"/>
              </w:rPr>
            </w:pPr>
            <w:r>
              <w:rPr>
                <w:rFonts w:ascii="Frutiger-Cn" w:hAnsi="Frutiger-Cn" w:cs="Frutiger-Cn"/>
                <w:b w:val="0"/>
                <w:sz w:val="18"/>
                <w:szCs w:val="18"/>
              </w:rPr>
              <w:t>NPK (S) Mezcla 5-11-10 (29)</w:t>
            </w:r>
          </w:p>
          <w:p w:rsidR="00B14FAF" w:rsidRPr="00B14FAF" w:rsidRDefault="00B14FAF" w:rsidP="00B14FAF">
            <w:pPr>
              <w:jc w:val="both"/>
              <w:rPr>
                <w:rFonts w:ascii="Frutiger-Cn" w:hAnsi="Frutiger-Cn" w:cs="Frutiger-Cn"/>
                <w:b w:val="0"/>
                <w:sz w:val="18"/>
                <w:szCs w:val="18"/>
              </w:rPr>
            </w:pPr>
            <w:r>
              <w:rPr>
                <w:rFonts w:ascii="Frutiger-Cn" w:hAnsi="Frutiger-Cn" w:cs="Frutiger-Cn"/>
                <w:b w:val="0"/>
                <w:sz w:val="18"/>
                <w:szCs w:val="18"/>
              </w:rPr>
              <w:t>(2).</w:t>
            </w:r>
          </w:p>
        </w:tc>
        <w:tc>
          <w:tcPr>
            <w:tcW w:w="1260" w:type="dxa"/>
          </w:tcPr>
          <w:p w:rsidR="00B14FAF" w:rsidRPr="00504B7C" w:rsidRDefault="00B14FAF" w:rsidP="002232A2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59" w:type="dxa"/>
          </w:tcPr>
          <w:p w:rsidR="00B14FAF" w:rsidRPr="00504B7C" w:rsidRDefault="00B14FAF" w:rsidP="002232A2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0.65-0.75</w:t>
            </w:r>
          </w:p>
        </w:tc>
      </w:tr>
      <w:tr w:rsidR="00872B7D" w:rsidRPr="00504B7C" w:rsidTr="00504B7C">
        <w:trPr>
          <w:cnfStyle w:val="000000010000"/>
          <w:trHeight w:val="405"/>
        </w:trPr>
        <w:tc>
          <w:tcPr>
            <w:cnfStyle w:val="001000000000"/>
            <w:tcW w:w="2943" w:type="dxa"/>
          </w:tcPr>
          <w:p w:rsidR="00872B7D" w:rsidRPr="00504B7C" w:rsidRDefault="00872B7D" w:rsidP="0000421A">
            <w:pPr>
              <w:jc w:val="both"/>
              <w:rPr>
                <w:rFonts w:ascii="Frutiger-Cn" w:hAnsi="Frutiger-Cn" w:cs="Frutiger-Cn"/>
                <w:b w:val="0"/>
                <w:sz w:val="18"/>
                <w:szCs w:val="18"/>
              </w:rPr>
            </w:pPr>
            <w:r w:rsidRPr="00504B7C">
              <w:rPr>
                <w:rFonts w:ascii="Frutiger-Cn" w:hAnsi="Frutiger-Cn" w:cs="Frutiger-Cn"/>
                <w:b w:val="0"/>
                <w:sz w:val="18"/>
                <w:szCs w:val="18"/>
              </w:rPr>
              <w:t>Sulfato amónico 21%</w:t>
            </w:r>
          </w:p>
          <w:p w:rsidR="00872B7D" w:rsidRPr="00504B7C" w:rsidRDefault="00872B7D" w:rsidP="0000421A">
            <w:pPr>
              <w:jc w:val="both"/>
              <w:rPr>
                <w:rFonts w:ascii="Frutiger-Cn" w:hAnsi="Frutiger-Cn" w:cs="Frutiger-C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872B7D" w:rsidRPr="00504B7C" w:rsidRDefault="00872B7D" w:rsidP="002232A2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504B7C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1559" w:type="dxa"/>
          </w:tcPr>
          <w:p w:rsidR="00872B7D" w:rsidRPr="00504B7C" w:rsidRDefault="00872B7D" w:rsidP="002232A2">
            <w:pPr>
              <w:jc w:val="right"/>
              <w:cnfStyle w:val="000000010000"/>
              <w:rPr>
                <w:rFonts w:ascii="Arial" w:hAnsi="Arial" w:cs="Arial"/>
                <w:sz w:val="18"/>
                <w:szCs w:val="18"/>
              </w:rPr>
            </w:pPr>
            <w:r w:rsidRPr="00504B7C">
              <w:rPr>
                <w:rFonts w:ascii="Arial" w:hAnsi="Arial" w:cs="Arial"/>
                <w:sz w:val="18"/>
                <w:szCs w:val="18"/>
              </w:rPr>
              <w:t>1.00-1.20</w:t>
            </w:r>
          </w:p>
        </w:tc>
      </w:tr>
      <w:tr w:rsidR="00872B7D" w:rsidRPr="00504B7C" w:rsidTr="00504B7C">
        <w:trPr>
          <w:cnfStyle w:val="000000100000"/>
          <w:trHeight w:val="398"/>
        </w:trPr>
        <w:tc>
          <w:tcPr>
            <w:cnfStyle w:val="001000000000"/>
            <w:tcW w:w="2943" w:type="dxa"/>
          </w:tcPr>
          <w:p w:rsidR="00872B7D" w:rsidRPr="00504B7C" w:rsidRDefault="00872B7D" w:rsidP="0000421A">
            <w:pPr>
              <w:jc w:val="both"/>
              <w:rPr>
                <w:rFonts w:ascii="Frutiger-Cn" w:hAnsi="Frutiger-Cn" w:cs="Frutiger-Cn"/>
                <w:b w:val="0"/>
                <w:sz w:val="18"/>
                <w:szCs w:val="18"/>
              </w:rPr>
            </w:pPr>
            <w:r w:rsidRPr="00504B7C">
              <w:rPr>
                <w:rFonts w:ascii="Frutiger-Cn" w:hAnsi="Frutiger-Cn" w:cs="Frutiger-Cn"/>
                <w:b w:val="0"/>
                <w:sz w:val="18"/>
                <w:szCs w:val="18"/>
              </w:rPr>
              <w:t>ALCAFER NITRO 26%</w:t>
            </w:r>
          </w:p>
          <w:p w:rsidR="00872B7D" w:rsidRPr="00504B7C" w:rsidRDefault="00872B7D" w:rsidP="0000421A">
            <w:pPr>
              <w:jc w:val="both"/>
              <w:rPr>
                <w:rFonts w:ascii="Frutiger-Cn" w:hAnsi="Frutiger-Cn" w:cs="Frutiger-Cn"/>
                <w:b w:val="0"/>
                <w:sz w:val="18"/>
                <w:szCs w:val="18"/>
              </w:rPr>
            </w:pPr>
          </w:p>
        </w:tc>
        <w:tc>
          <w:tcPr>
            <w:tcW w:w="1260" w:type="dxa"/>
          </w:tcPr>
          <w:p w:rsidR="00872B7D" w:rsidRPr="00504B7C" w:rsidRDefault="00872B7D" w:rsidP="002232A2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04B7C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559" w:type="dxa"/>
          </w:tcPr>
          <w:p w:rsidR="00872B7D" w:rsidRPr="00504B7C" w:rsidRDefault="00872B7D" w:rsidP="002232A2">
            <w:pPr>
              <w:jc w:val="right"/>
              <w:cnfStyle w:val="000000100000"/>
              <w:rPr>
                <w:rFonts w:ascii="Arial" w:hAnsi="Arial" w:cs="Arial"/>
                <w:sz w:val="18"/>
                <w:szCs w:val="18"/>
              </w:rPr>
            </w:pPr>
            <w:r w:rsidRPr="00504B7C">
              <w:rPr>
                <w:rFonts w:ascii="Arial" w:hAnsi="Arial" w:cs="Arial"/>
                <w:sz w:val="18"/>
                <w:szCs w:val="18"/>
              </w:rPr>
              <w:t>0.80-1.00</w:t>
            </w:r>
          </w:p>
        </w:tc>
      </w:tr>
    </w:tbl>
    <w:p w:rsidR="0000421A" w:rsidRPr="00833B7C" w:rsidRDefault="00872B7D" w:rsidP="0000421A">
      <w:pPr>
        <w:pStyle w:val="Prrafodelista"/>
        <w:numPr>
          <w:ilvl w:val="0"/>
          <w:numId w:val="4"/>
        </w:numPr>
        <w:jc w:val="both"/>
        <w:rPr>
          <w:rFonts w:ascii="Frutiger-Cn" w:hAnsi="Frutiger-Cn" w:cs="Frutiger-Cn"/>
          <w:b/>
          <w:sz w:val="16"/>
          <w:szCs w:val="16"/>
        </w:rPr>
      </w:pPr>
      <w:r w:rsidRPr="00833B7C">
        <w:rPr>
          <w:rFonts w:ascii="Arial" w:hAnsi="Arial" w:cs="Arial"/>
          <w:b/>
          <w:sz w:val="16"/>
          <w:szCs w:val="16"/>
        </w:rPr>
        <w:t>En función el número de árboles</w:t>
      </w:r>
      <w:r w:rsidRPr="00833B7C">
        <w:rPr>
          <w:rFonts w:ascii="Frutiger-Cn" w:hAnsi="Frutiger-Cn" w:cs="Frutiger-Cn"/>
          <w:b/>
          <w:sz w:val="24"/>
          <w:szCs w:val="24"/>
        </w:rPr>
        <w:t>.</w:t>
      </w:r>
      <w:r w:rsidR="00833B7C">
        <w:rPr>
          <w:rFonts w:ascii="Frutiger-Cn" w:hAnsi="Frutiger-Cn" w:cs="Frutiger-Cn"/>
          <w:b/>
          <w:sz w:val="24"/>
          <w:szCs w:val="24"/>
        </w:rPr>
        <w:t xml:space="preserve"> </w:t>
      </w:r>
      <w:r w:rsidR="00504B7C" w:rsidRPr="00833B7C">
        <w:rPr>
          <w:rFonts w:ascii="Frutiger-Cn" w:hAnsi="Frutiger-Cn" w:cs="Frutiger-Cn"/>
          <w:b/>
          <w:sz w:val="16"/>
          <w:szCs w:val="16"/>
        </w:rPr>
        <w:t>(2) Aplicación de</w:t>
      </w:r>
      <w:r w:rsidR="00833B7C" w:rsidRPr="00833B7C">
        <w:rPr>
          <w:rFonts w:ascii="Frutiger-Cn" w:hAnsi="Frutiger-Cn" w:cs="Frutiger-Cn"/>
          <w:b/>
          <w:sz w:val="16"/>
          <w:szCs w:val="16"/>
        </w:rPr>
        <w:t xml:space="preserve"> otoño. (3) Una sola aplicación al final del invierno o principios de primavera.</w:t>
      </w:r>
    </w:p>
    <w:sectPr w:rsidR="0000421A" w:rsidRPr="00833B7C" w:rsidSect="008A3CC4">
      <w:headerReference w:type="default" r:id="rId8"/>
      <w:footerReference w:type="default" r:id="rId9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FAF" w:rsidRDefault="00B14FAF" w:rsidP="008032AE">
      <w:pPr>
        <w:spacing w:after="0" w:line="240" w:lineRule="auto"/>
      </w:pPr>
      <w:r>
        <w:separator/>
      </w:r>
    </w:p>
  </w:endnote>
  <w:endnote w:type="continuationSeparator" w:id="0">
    <w:p w:rsidR="00B14FAF" w:rsidRDefault="00B14FAF" w:rsidP="0080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8510"/>
      <w:docPartObj>
        <w:docPartGallery w:val="Page Numbers (Bottom of Page)"/>
        <w:docPartUnique/>
      </w:docPartObj>
    </w:sdtPr>
    <w:sdtContent>
      <w:p w:rsidR="00B14FAF" w:rsidRDefault="00B14FAF">
        <w:pPr>
          <w:pStyle w:val="Piedepgina"/>
          <w:jc w:val="center"/>
        </w:pPr>
        <w:fldSimple w:instr=" PAGE   \* MERGEFORMAT ">
          <w:r w:rsidR="00B11C5F">
            <w:rPr>
              <w:noProof/>
            </w:rPr>
            <w:t>1</w:t>
          </w:r>
        </w:fldSimple>
      </w:p>
    </w:sdtContent>
  </w:sdt>
  <w:p w:rsidR="00B14FAF" w:rsidRPr="008032AE" w:rsidRDefault="00B14FAF">
    <w:pPr>
      <w:pStyle w:val="Piedepgina"/>
      <w:rPr>
        <w:sz w:val="20"/>
        <w:szCs w:val="20"/>
      </w:rPr>
    </w:pPr>
    <w:r w:rsidRPr="008032AE">
      <w:rPr>
        <w:sz w:val="20"/>
        <w:szCs w:val="20"/>
      </w:rPr>
      <w:t>Oct.201</w:t>
    </w:r>
    <w:r>
      <w:rPr>
        <w:sz w:val="20"/>
        <w:szCs w:val="20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FAF" w:rsidRDefault="00B14FAF" w:rsidP="008032AE">
      <w:pPr>
        <w:spacing w:after="0" w:line="240" w:lineRule="auto"/>
      </w:pPr>
      <w:r>
        <w:separator/>
      </w:r>
    </w:p>
  </w:footnote>
  <w:footnote w:type="continuationSeparator" w:id="0">
    <w:p w:rsidR="00B14FAF" w:rsidRDefault="00B14FAF" w:rsidP="0080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AF" w:rsidRDefault="00B14FAF" w:rsidP="008032AE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712470" cy="457200"/>
          <wp:effectExtent l="19050" t="0" r="0" b="0"/>
          <wp:docPr id="2" name="1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47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649320" cy="457200"/>
          <wp:effectExtent l="19050" t="0" r="0" b="0"/>
          <wp:docPr id="1" name="0 Imagen" descr="LOGO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JPE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53079" cy="459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327"/>
    <w:multiLevelType w:val="hybridMultilevel"/>
    <w:tmpl w:val="A03470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01E0B"/>
    <w:multiLevelType w:val="hybridMultilevel"/>
    <w:tmpl w:val="7B503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A23BF"/>
    <w:multiLevelType w:val="hybridMultilevel"/>
    <w:tmpl w:val="26782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005C0"/>
    <w:multiLevelType w:val="hybridMultilevel"/>
    <w:tmpl w:val="FF5878D0"/>
    <w:lvl w:ilvl="0" w:tplc="472E08FA">
      <w:start w:val="1"/>
      <w:numFmt w:val="decimal"/>
      <w:lvlText w:val="(%1)"/>
      <w:lvlJc w:val="left"/>
      <w:pPr>
        <w:ind w:left="1070" w:hanging="360"/>
      </w:pPr>
      <w:rPr>
        <w:rFonts w:ascii="Arial" w:hAnsi="Arial" w:cs="Arial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790" w:hanging="360"/>
      </w:pPr>
    </w:lvl>
    <w:lvl w:ilvl="2" w:tplc="0C0A001B" w:tentative="1">
      <w:start w:val="1"/>
      <w:numFmt w:val="lowerRoman"/>
      <w:lvlText w:val="%3."/>
      <w:lvlJc w:val="right"/>
      <w:pPr>
        <w:ind w:left="2510" w:hanging="180"/>
      </w:pPr>
    </w:lvl>
    <w:lvl w:ilvl="3" w:tplc="0C0A000F" w:tentative="1">
      <w:start w:val="1"/>
      <w:numFmt w:val="decimal"/>
      <w:lvlText w:val="%4."/>
      <w:lvlJc w:val="left"/>
      <w:pPr>
        <w:ind w:left="3230" w:hanging="360"/>
      </w:pPr>
    </w:lvl>
    <w:lvl w:ilvl="4" w:tplc="0C0A0019" w:tentative="1">
      <w:start w:val="1"/>
      <w:numFmt w:val="lowerLetter"/>
      <w:lvlText w:val="%5."/>
      <w:lvlJc w:val="left"/>
      <w:pPr>
        <w:ind w:left="3950" w:hanging="360"/>
      </w:pPr>
    </w:lvl>
    <w:lvl w:ilvl="5" w:tplc="0C0A001B" w:tentative="1">
      <w:start w:val="1"/>
      <w:numFmt w:val="lowerRoman"/>
      <w:lvlText w:val="%6."/>
      <w:lvlJc w:val="right"/>
      <w:pPr>
        <w:ind w:left="4670" w:hanging="180"/>
      </w:pPr>
    </w:lvl>
    <w:lvl w:ilvl="6" w:tplc="0C0A000F" w:tentative="1">
      <w:start w:val="1"/>
      <w:numFmt w:val="decimal"/>
      <w:lvlText w:val="%7."/>
      <w:lvlJc w:val="left"/>
      <w:pPr>
        <w:ind w:left="5390" w:hanging="360"/>
      </w:pPr>
    </w:lvl>
    <w:lvl w:ilvl="7" w:tplc="0C0A0019" w:tentative="1">
      <w:start w:val="1"/>
      <w:numFmt w:val="lowerLetter"/>
      <w:lvlText w:val="%8."/>
      <w:lvlJc w:val="left"/>
      <w:pPr>
        <w:ind w:left="6110" w:hanging="360"/>
      </w:pPr>
    </w:lvl>
    <w:lvl w:ilvl="8" w:tplc="0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EAD0573"/>
    <w:multiLevelType w:val="hybridMultilevel"/>
    <w:tmpl w:val="53E02D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229A9"/>
    <w:rsid w:val="0000421A"/>
    <w:rsid w:val="000835A3"/>
    <w:rsid w:val="000B4D9A"/>
    <w:rsid w:val="002232A2"/>
    <w:rsid w:val="00314E00"/>
    <w:rsid w:val="00323DFF"/>
    <w:rsid w:val="00371ADF"/>
    <w:rsid w:val="004D36C2"/>
    <w:rsid w:val="00504B7C"/>
    <w:rsid w:val="0051757A"/>
    <w:rsid w:val="005E3433"/>
    <w:rsid w:val="008032AE"/>
    <w:rsid w:val="0080410E"/>
    <w:rsid w:val="00833B7C"/>
    <w:rsid w:val="00872B7D"/>
    <w:rsid w:val="008A3CC4"/>
    <w:rsid w:val="00951720"/>
    <w:rsid w:val="00A33758"/>
    <w:rsid w:val="00A35D7B"/>
    <w:rsid w:val="00A976F8"/>
    <w:rsid w:val="00AF3357"/>
    <w:rsid w:val="00B067AA"/>
    <w:rsid w:val="00B11C5F"/>
    <w:rsid w:val="00B14FAF"/>
    <w:rsid w:val="00B229A9"/>
    <w:rsid w:val="00B62D65"/>
    <w:rsid w:val="00DD33DA"/>
    <w:rsid w:val="00E6057F"/>
    <w:rsid w:val="00FB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E00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4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1">
    <w:name w:val="Light Grid Accent 1"/>
    <w:basedOn w:val="Tablanormal"/>
    <w:uiPriority w:val="62"/>
    <w:rsid w:val="000042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80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2AE"/>
  </w:style>
  <w:style w:type="paragraph" w:styleId="Piedepgina">
    <w:name w:val="footer"/>
    <w:basedOn w:val="Normal"/>
    <w:link w:val="PiedepginaCar"/>
    <w:uiPriority w:val="99"/>
    <w:unhideWhenUsed/>
    <w:rsid w:val="0080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2AE"/>
  </w:style>
  <w:style w:type="paragraph" w:styleId="Textodeglobo">
    <w:name w:val="Balloon Text"/>
    <w:basedOn w:val="Normal"/>
    <w:link w:val="TextodegloboCar"/>
    <w:uiPriority w:val="99"/>
    <w:semiHidden/>
    <w:unhideWhenUsed/>
    <w:rsid w:val="00803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2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63EF4-DA19-46C5-818C-8564C2E3E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2017-10-19T16:12:00Z</dcterms:created>
  <dcterms:modified xsi:type="dcterms:W3CDTF">2019-03-01T17:33:00Z</dcterms:modified>
</cp:coreProperties>
</file>